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4C" w:rsidRPr="009F6E4C" w:rsidRDefault="009F6E4C" w:rsidP="008202D9">
      <w:pPr>
        <w:numPr>
          <w:ilvl w:val="0"/>
          <w:numId w:val="1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F6E4C">
        <w:rPr>
          <w:rFonts w:ascii="Arial" w:hAnsi="Arial" w:cs="Arial"/>
          <w:sz w:val="22"/>
          <w:szCs w:val="22"/>
        </w:rPr>
        <w:t xml:space="preserve">Government is committed to reducing the regulatory burden on the liquor and gaming industry to support tourism as one of the four pillars of the </w:t>
      </w:r>
      <w:smartTag w:uri="urn:schemas-microsoft-com:office:smarttags" w:element="State">
        <w:smartTag w:uri="urn:schemas-microsoft-com:office:smarttags" w:element="place">
          <w:r w:rsidRPr="009F6E4C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F6E4C">
        <w:rPr>
          <w:rFonts w:ascii="Arial" w:hAnsi="Arial" w:cs="Arial"/>
          <w:sz w:val="22"/>
          <w:szCs w:val="22"/>
        </w:rPr>
        <w:t xml:space="preserve"> economy.</w:t>
      </w:r>
    </w:p>
    <w:p w:rsidR="009F6E4C" w:rsidRPr="009F6E4C" w:rsidRDefault="009F6E4C" w:rsidP="008202D9">
      <w:pPr>
        <w:numPr>
          <w:ilvl w:val="0"/>
          <w:numId w:val="1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 xml:space="preserve">In accordance with this commitment, the Liquor </w:t>
      </w:r>
      <w:r w:rsidR="00031521">
        <w:rPr>
          <w:rFonts w:ascii="Arial" w:hAnsi="Arial" w:cs="Arial"/>
          <w:sz w:val="22"/>
          <w:szCs w:val="22"/>
        </w:rPr>
        <w:t xml:space="preserve">(Red Tape Reduction) </w:t>
      </w:r>
      <w:r w:rsidRPr="009F6E4C">
        <w:rPr>
          <w:rFonts w:ascii="Arial" w:hAnsi="Arial" w:cs="Arial"/>
          <w:sz w:val="22"/>
          <w:szCs w:val="22"/>
        </w:rPr>
        <w:t>and Other Legislation Amendment Bill 2013</w:t>
      </w:r>
      <w:r w:rsidRPr="009F6E4C">
        <w:rPr>
          <w:rFonts w:ascii="Arial" w:hAnsi="Arial" w:cs="Arial"/>
          <w:i/>
          <w:sz w:val="22"/>
          <w:szCs w:val="22"/>
        </w:rPr>
        <w:t xml:space="preserve"> </w:t>
      </w:r>
      <w:r w:rsidRPr="009F6E4C">
        <w:rPr>
          <w:rFonts w:ascii="Arial" w:hAnsi="Arial" w:cs="Arial"/>
          <w:sz w:val="22"/>
          <w:szCs w:val="22"/>
        </w:rPr>
        <w:t>amends liquor and gaming legislation to implement a number of red tape reduction and miscellaneous proposals, including: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>extend term of adult entertainment permits (AEPs) from one to three years;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>allowing approvals for AEP controllers to be transferable to multiple venues;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>exempt tourist operators supplying limited amount of liquor to clients as part of a tour;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>remove approved manager requirements for certain low risk premises, including licensed restaurants/cafes, small community clubs (2,000 members or less), community other clubs and restricted liquor permittees where the premises do not operate beyond midnight;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>remove approved manager requirements for licensed</w:t>
      </w:r>
      <w:r w:rsidRPr="009F6E4C">
        <w:rPr>
          <w:rFonts w:ascii="Arial" w:hAnsi="Arial" w:cs="Arial"/>
        </w:rPr>
        <w:t xml:space="preserve"> </w:t>
      </w:r>
      <w:r w:rsidRPr="009F6E4C">
        <w:rPr>
          <w:rFonts w:ascii="Arial" w:hAnsi="Arial" w:cs="Arial"/>
          <w:sz w:val="22"/>
          <w:szCs w:val="22"/>
        </w:rPr>
        <w:t>vessels;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>destruction of gaming machines without the Commissioner of Liquor and Gaming’s (Commissioner’s) written approval;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 xml:space="preserve">allowing liquor licensees suffering significant financial hardship to pay annual fees by instalment; 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 xml:space="preserve">removing the requirement for licensees to keep a register of persons trained in </w:t>
      </w:r>
      <w:r w:rsidR="00CA47C2">
        <w:rPr>
          <w:rFonts w:ascii="Arial" w:hAnsi="Arial" w:cs="Arial"/>
          <w:sz w:val="22"/>
          <w:szCs w:val="22"/>
        </w:rPr>
        <w:t>responsible service of alcohol (</w:t>
      </w:r>
      <w:r w:rsidRPr="009F6E4C">
        <w:rPr>
          <w:rFonts w:ascii="Arial" w:hAnsi="Arial" w:cs="Arial"/>
          <w:sz w:val="22"/>
          <w:szCs w:val="22"/>
        </w:rPr>
        <w:t>RSA</w:t>
      </w:r>
      <w:r w:rsidR="00CA47C2">
        <w:rPr>
          <w:rFonts w:ascii="Arial" w:hAnsi="Arial" w:cs="Arial"/>
          <w:sz w:val="22"/>
          <w:szCs w:val="22"/>
        </w:rPr>
        <w:t>)</w:t>
      </w:r>
      <w:r w:rsidRPr="009F6E4C">
        <w:rPr>
          <w:rFonts w:ascii="Arial" w:hAnsi="Arial" w:cs="Arial"/>
          <w:sz w:val="22"/>
          <w:szCs w:val="22"/>
        </w:rPr>
        <w:t>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 xml:space="preserve">allowing persons trained in </w:t>
      </w:r>
      <w:r w:rsidR="00C97D77">
        <w:rPr>
          <w:rFonts w:ascii="Arial" w:hAnsi="Arial" w:cs="Arial"/>
          <w:sz w:val="22"/>
          <w:szCs w:val="22"/>
        </w:rPr>
        <w:t xml:space="preserve">responsible management of licensed venues </w:t>
      </w:r>
      <w:r w:rsidRPr="009F6E4C">
        <w:rPr>
          <w:rFonts w:ascii="Arial" w:hAnsi="Arial" w:cs="Arial"/>
          <w:sz w:val="22"/>
          <w:szCs w:val="22"/>
        </w:rPr>
        <w:t xml:space="preserve">to be recognised as RSA trained; </w:t>
      </w:r>
    </w:p>
    <w:p w:rsidR="009F6E4C" w:rsidRPr="00917ACE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 xml:space="preserve">reducing gaming machine licence application requirements that are prescribed in the </w:t>
      </w:r>
      <w:r w:rsidRPr="009F6E4C">
        <w:rPr>
          <w:rFonts w:ascii="Arial" w:hAnsi="Arial" w:cs="Arial"/>
          <w:i/>
          <w:sz w:val="22"/>
          <w:szCs w:val="22"/>
        </w:rPr>
        <w:t>Gaming Machine Act 1991</w:t>
      </w:r>
      <w:r w:rsidR="00917ACE">
        <w:rPr>
          <w:rFonts w:ascii="Arial" w:hAnsi="Arial" w:cs="Arial"/>
          <w:i/>
          <w:sz w:val="22"/>
          <w:szCs w:val="22"/>
        </w:rPr>
        <w:t>;</w:t>
      </w:r>
    </w:p>
    <w:p w:rsidR="00917ACE" w:rsidRPr="009F6E4C" w:rsidRDefault="00917ACE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amendments to fair trading legislation, namely the </w:t>
      </w:r>
      <w:r w:rsidRPr="00917ACE">
        <w:rPr>
          <w:rFonts w:ascii="Arial" w:hAnsi="Arial" w:cs="Arial"/>
          <w:i/>
          <w:sz w:val="22"/>
          <w:szCs w:val="22"/>
        </w:rPr>
        <w:t>Roman Catholic Church (incorporation of Church Entities) Act 1994</w:t>
      </w:r>
      <w:r>
        <w:rPr>
          <w:rFonts w:ascii="Arial" w:hAnsi="Arial" w:cs="Arial"/>
          <w:sz w:val="22"/>
          <w:szCs w:val="22"/>
        </w:rPr>
        <w:t xml:space="preserve">, </w:t>
      </w:r>
      <w:r w:rsidRPr="00917ACE">
        <w:rPr>
          <w:rFonts w:ascii="Arial" w:hAnsi="Arial" w:cs="Arial"/>
          <w:i/>
          <w:sz w:val="22"/>
          <w:szCs w:val="22"/>
        </w:rPr>
        <w:t>Roman Catholic Church Lands Act 1985</w:t>
      </w:r>
      <w:r>
        <w:rPr>
          <w:rFonts w:ascii="Arial" w:hAnsi="Arial" w:cs="Arial"/>
          <w:sz w:val="22"/>
          <w:szCs w:val="22"/>
        </w:rPr>
        <w:t xml:space="preserve"> and the </w:t>
      </w:r>
      <w:r w:rsidRPr="00917ACE">
        <w:rPr>
          <w:rFonts w:ascii="Arial" w:hAnsi="Arial" w:cs="Arial"/>
          <w:i/>
          <w:sz w:val="22"/>
          <w:szCs w:val="22"/>
        </w:rPr>
        <w:t>Security Providers Act 1993</w:t>
      </w:r>
      <w:r>
        <w:rPr>
          <w:rFonts w:ascii="Arial" w:hAnsi="Arial" w:cs="Arial"/>
          <w:sz w:val="22"/>
          <w:szCs w:val="22"/>
        </w:rPr>
        <w:t>, to reduce red tape, correct omissions and improve legislative clarity and integrity;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 xml:space="preserve">amendments to the </w:t>
      </w:r>
      <w:r w:rsidRPr="009F6E4C">
        <w:rPr>
          <w:rFonts w:ascii="Arial" w:hAnsi="Arial" w:cs="Arial"/>
          <w:i/>
          <w:sz w:val="22"/>
          <w:szCs w:val="22"/>
        </w:rPr>
        <w:t>Wagering Act 1998</w:t>
      </w:r>
      <w:r w:rsidRPr="009F6E4C">
        <w:rPr>
          <w:rFonts w:ascii="Arial" w:hAnsi="Arial" w:cs="Arial"/>
          <w:sz w:val="22"/>
          <w:szCs w:val="22"/>
        </w:rPr>
        <w:t>, to give direct legislative authority under that Act for the Minister to extend the term of a sports wagering licence; and</w:t>
      </w:r>
    </w:p>
    <w:p w:rsidR="009F6E4C" w:rsidRPr="009F6E4C" w:rsidRDefault="009F6E4C" w:rsidP="00286EF9">
      <w:pPr>
        <w:numPr>
          <w:ilvl w:val="0"/>
          <w:numId w:val="5"/>
        </w:numPr>
        <w:tabs>
          <w:tab w:val="clear" w:pos="360"/>
          <w:tab w:val="num" w:pos="900"/>
        </w:tabs>
        <w:spacing w:before="60"/>
        <w:ind w:left="900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sz w:val="22"/>
          <w:szCs w:val="22"/>
        </w:rPr>
        <w:t>other miscellaneous amendments to liquor and gaming legislation.</w:t>
      </w:r>
    </w:p>
    <w:p w:rsidR="009F6E4C" w:rsidRPr="009F6E4C" w:rsidRDefault="009F6E4C" w:rsidP="008202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F6E4C">
        <w:rPr>
          <w:rFonts w:ascii="Arial" w:hAnsi="Arial" w:cs="Arial"/>
          <w:bCs/>
          <w:spacing w:val="-3"/>
          <w:sz w:val="22"/>
          <w:szCs w:val="22"/>
        </w:rPr>
        <w:t xml:space="preserve">The amendments will allow </w:t>
      </w:r>
      <w:smartTag w:uri="urn:schemas-microsoft-com:office:smarttags" w:element="place">
        <w:smartTag w:uri="urn:schemas-microsoft-com:office:smarttags" w:element="State">
          <w:r w:rsidRPr="009F6E4C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9F6E4C">
        <w:rPr>
          <w:rFonts w:ascii="Arial" w:hAnsi="Arial" w:cs="Arial"/>
          <w:bCs/>
          <w:spacing w:val="-3"/>
          <w:sz w:val="22"/>
          <w:szCs w:val="22"/>
        </w:rPr>
        <w:t xml:space="preserve"> hospitality and tourism industries to operate more efficiently, while maintaining safeguards to manage potential risks from liquor and gaming. </w:t>
      </w:r>
    </w:p>
    <w:p w:rsidR="009F6E4C" w:rsidRPr="009F6E4C" w:rsidRDefault="009F6E4C" w:rsidP="008202D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F6E4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9F6E4C">
        <w:rPr>
          <w:rFonts w:ascii="Arial" w:hAnsi="Arial" w:cs="Arial"/>
          <w:bCs/>
          <w:spacing w:val="-3"/>
          <w:sz w:val="22"/>
          <w:szCs w:val="22"/>
        </w:rPr>
        <w:t xml:space="preserve"> the introduction of the </w:t>
      </w:r>
      <w:r w:rsidRPr="009F6E4C">
        <w:rPr>
          <w:rFonts w:ascii="Arial" w:hAnsi="Arial" w:cs="Arial"/>
          <w:sz w:val="22"/>
          <w:szCs w:val="22"/>
        </w:rPr>
        <w:t xml:space="preserve">Liquor </w:t>
      </w:r>
      <w:r w:rsidR="00031521" w:rsidRPr="00031521">
        <w:rPr>
          <w:rFonts w:ascii="Arial" w:hAnsi="Arial" w:cs="Arial"/>
          <w:sz w:val="22"/>
          <w:szCs w:val="22"/>
        </w:rPr>
        <w:t xml:space="preserve">(Red Tape Reduction) </w:t>
      </w:r>
      <w:r w:rsidRPr="009F6E4C">
        <w:rPr>
          <w:rFonts w:ascii="Arial" w:hAnsi="Arial" w:cs="Arial"/>
          <w:sz w:val="22"/>
          <w:szCs w:val="22"/>
        </w:rPr>
        <w:t>and Other Legislation Amendment Bill 2013</w:t>
      </w:r>
      <w:r w:rsidRPr="009F6E4C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</w:t>
      </w:r>
      <w:r w:rsidRPr="009F6E4C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:rsidR="009F6E4C" w:rsidRPr="009F6E4C" w:rsidRDefault="009F6E4C" w:rsidP="008202D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F6E4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F6E4C" w:rsidRPr="009F6E4C" w:rsidRDefault="004B6EB0" w:rsidP="009F6E4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F6E4C" w:rsidRPr="00031521">
          <w:rPr>
            <w:rStyle w:val="Hyperlink"/>
            <w:rFonts w:ascii="Arial" w:hAnsi="Arial" w:cs="Arial"/>
            <w:sz w:val="22"/>
            <w:szCs w:val="22"/>
          </w:rPr>
          <w:t xml:space="preserve">Liquor </w:t>
        </w:r>
        <w:r w:rsidR="00031521" w:rsidRPr="00031521">
          <w:rPr>
            <w:rStyle w:val="Hyperlink"/>
            <w:rFonts w:ascii="Arial" w:hAnsi="Arial" w:cs="Arial"/>
            <w:sz w:val="22"/>
            <w:szCs w:val="22"/>
          </w:rPr>
          <w:t xml:space="preserve">(Red Tape Reduction) </w:t>
        </w:r>
        <w:r w:rsidR="009F6E4C" w:rsidRPr="00031521">
          <w:rPr>
            <w:rStyle w:val="Hyperlink"/>
            <w:rFonts w:ascii="Arial" w:hAnsi="Arial" w:cs="Arial"/>
            <w:sz w:val="22"/>
            <w:szCs w:val="22"/>
          </w:rPr>
          <w:t xml:space="preserve">and Other </w:t>
        </w:r>
        <w:r w:rsidR="00F02C5D" w:rsidRPr="00031521">
          <w:rPr>
            <w:rStyle w:val="Hyperlink"/>
            <w:rFonts w:ascii="Arial" w:hAnsi="Arial" w:cs="Arial"/>
            <w:sz w:val="22"/>
            <w:szCs w:val="22"/>
          </w:rPr>
          <w:t>Legislation Amendment Bill 2013</w:t>
        </w:r>
      </w:hyperlink>
    </w:p>
    <w:p w:rsidR="00E973BC" w:rsidRPr="00C42E0A" w:rsidRDefault="004B6EB0" w:rsidP="00C42E0A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F6E4C" w:rsidRPr="000755F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9F6E4C" w:rsidRPr="009F6E4C">
        <w:rPr>
          <w:rFonts w:ascii="Arial" w:hAnsi="Arial" w:cs="Arial"/>
          <w:sz w:val="22"/>
          <w:szCs w:val="22"/>
        </w:rPr>
        <w:t>.</w:t>
      </w:r>
    </w:p>
    <w:sectPr w:rsidR="00E973BC" w:rsidRPr="00C42E0A" w:rsidSect="008202D9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A3" w:rsidRDefault="004D1EA3" w:rsidP="00D6589B">
      <w:r>
        <w:separator/>
      </w:r>
    </w:p>
  </w:endnote>
  <w:endnote w:type="continuationSeparator" w:id="0">
    <w:p w:rsidR="004D1EA3" w:rsidRDefault="004D1EA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A3" w:rsidRDefault="004D1EA3" w:rsidP="00D6589B">
      <w:r>
        <w:separator/>
      </w:r>
    </w:p>
  </w:footnote>
  <w:footnote w:type="continuationSeparator" w:id="0">
    <w:p w:rsidR="004D1EA3" w:rsidRDefault="004D1EA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D9" w:rsidRPr="00937A4A" w:rsidRDefault="008202D9" w:rsidP="00F02C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8202D9" w:rsidRPr="00937A4A" w:rsidRDefault="008202D9" w:rsidP="00F02C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8202D9" w:rsidRPr="00937A4A" w:rsidRDefault="008202D9" w:rsidP="00F02C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2013</w:t>
    </w:r>
  </w:p>
  <w:p w:rsidR="008202D9" w:rsidRPr="009F6E4C" w:rsidRDefault="008202D9" w:rsidP="00D3675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3675C">
      <w:rPr>
        <w:rFonts w:ascii="Arial" w:hAnsi="Arial" w:cs="Arial"/>
        <w:b/>
        <w:color w:val="auto"/>
        <w:sz w:val="22"/>
        <w:szCs w:val="22"/>
        <w:u w:val="single"/>
      </w:rPr>
      <w:t xml:space="preserve">Liquor </w:t>
    </w:r>
    <w:r w:rsidR="00031521">
      <w:rPr>
        <w:rFonts w:ascii="Arial" w:hAnsi="Arial" w:cs="Arial"/>
        <w:b/>
        <w:color w:val="auto"/>
        <w:sz w:val="22"/>
        <w:szCs w:val="22"/>
        <w:u w:val="single"/>
      </w:rPr>
      <w:t xml:space="preserve">(Red Tape Reduction) </w:t>
    </w:r>
    <w:r w:rsidRPr="00D3675C">
      <w:rPr>
        <w:rFonts w:ascii="Arial" w:hAnsi="Arial" w:cs="Arial"/>
        <w:b/>
        <w:color w:val="auto"/>
        <w:sz w:val="22"/>
        <w:szCs w:val="22"/>
        <w:u w:val="single"/>
      </w:rPr>
      <w:t>and Other Legislation A</w:t>
    </w:r>
    <w:r w:rsidRPr="009F6E4C">
      <w:rPr>
        <w:rFonts w:ascii="Arial" w:hAnsi="Arial" w:cs="Arial"/>
        <w:b/>
        <w:sz w:val="22"/>
        <w:szCs w:val="22"/>
        <w:u w:val="single"/>
      </w:rPr>
      <w:t>mendment Bill 2013</w:t>
    </w:r>
  </w:p>
  <w:p w:rsidR="008202D9" w:rsidRDefault="008202D9" w:rsidP="008202D9">
    <w:pPr>
      <w:pStyle w:val="Header"/>
      <w:spacing w:before="120"/>
      <w:rPr>
        <w:rFonts w:ascii="Arial" w:hAnsi="Arial" w:cs="Arial"/>
        <w:sz w:val="22"/>
        <w:szCs w:val="22"/>
      </w:rPr>
    </w:pPr>
    <w:r w:rsidRPr="009F6E4C">
      <w:rPr>
        <w:rFonts w:ascii="Arial" w:hAnsi="Arial" w:cs="Arial"/>
        <w:b/>
        <w:sz w:val="22"/>
        <w:szCs w:val="22"/>
        <w:u w:val="single"/>
      </w:rPr>
      <w:t>Attorney-G</w:t>
    </w:r>
    <w:r>
      <w:rPr>
        <w:rFonts w:ascii="Arial" w:hAnsi="Arial" w:cs="Arial"/>
        <w:b/>
        <w:sz w:val="22"/>
        <w:szCs w:val="22"/>
        <w:u w:val="single"/>
      </w:rPr>
      <w:t>eneral and Minister for Justice</w:t>
    </w:r>
  </w:p>
  <w:p w:rsidR="008202D9" w:rsidRPr="008202D9" w:rsidRDefault="008202D9" w:rsidP="008202D9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C28"/>
    <w:multiLevelType w:val="hybridMultilevel"/>
    <w:tmpl w:val="89CA6B4E"/>
    <w:lvl w:ilvl="0" w:tplc="AF3E8D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3E60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479B5"/>
    <w:multiLevelType w:val="multilevel"/>
    <w:tmpl w:val="89CA6B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862A8"/>
    <w:multiLevelType w:val="hybridMultilevel"/>
    <w:tmpl w:val="36F8489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3E60A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B97E8E0E"/>
    <w:lvl w:ilvl="0" w:tplc="22826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1521"/>
    <w:rsid w:val="000430DD"/>
    <w:rsid w:val="0005753B"/>
    <w:rsid w:val="000755F9"/>
    <w:rsid w:val="00080F8F"/>
    <w:rsid w:val="0008575A"/>
    <w:rsid w:val="000D4238"/>
    <w:rsid w:val="00102858"/>
    <w:rsid w:val="001318FA"/>
    <w:rsid w:val="00140936"/>
    <w:rsid w:val="00174117"/>
    <w:rsid w:val="001E209B"/>
    <w:rsid w:val="001E7127"/>
    <w:rsid w:val="00212C37"/>
    <w:rsid w:val="0021344B"/>
    <w:rsid w:val="00262BAB"/>
    <w:rsid w:val="00286EF9"/>
    <w:rsid w:val="002B27E6"/>
    <w:rsid w:val="002C1C0D"/>
    <w:rsid w:val="002D649F"/>
    <w:rsid w:val="0035142B"/>
    <w:rsid w:val="00382BAE"/>
    <w:rsid w:val="003A13A1"/>
    <w:rsid w:val="003B5871"/>
    <w:rsid w:val="004B6EB0"/>
    <w:rsid w:val="004D1EA3"/>
    <w:rsid w:val="004E3AE1"/>
    <w:rsid w:val="004F044A"/>
    <w:rsid w:val="00501C66"/>
    <w:rsid w:val="0050474C"/>
    <w:rsid w:val="00550873"/>
    <w:rsid w:val="00602470"/>
    <w:rsid w:val="00606508"/>
    <w:rsid w:val="006521E7"/>
    <w:rsid w:val="00654B0A"/>
    <w:rsid w:val="006E392A"/>
    <w:rsid w:val="00732E22"/>
    <w:rsid w:val="00757B12"/>
    <w:rsid w:val="008202D9"/>
    <w:rsid w:val="00821E64"/>
    <w:rsid w:val="008A4523"/>
    <w:rsid w:val="008B4095"/>
    <w:rsid w:val="008F44CD"/>
    <w:rsid w:val="00917ACE"/>
    <w:rsid w:val="0093748E"/>
    <w:rsid w:val="009F6E4C"/>
    <w:rsid w:val="00A527A5"/>
    <w:rsid w:val="00AD7250"/>
    <w:rsid w:val="00AE69F0"/>
    <w:rsid w:val="00C07656"/>
    <w:rsid w:val="00C40FB0"/>
    <w:rsid w:val="00C42E0A"/>
    <w:rsid w:val="00C7064A"/>
    <w:rsid w:val="00C75E67"/>
    <w:rsid w:val="00C97D77"/>
    <w:rsid w:val="00CA47C2"/>
    <w:rsid w:val="00CB1501"/>
    <w:rsid w:val="00CD1D51"/>
    <w:rsid w:val="00CE6FBA"/>
    <w:rsid w:val="00CF0D8A"/>
    <w:rsid w:val="00CF66BA"/>
    <w:rsid w:val="00D113E4"/>
    <w:rsid w:val="00D20BF1"/>
    <w:rsid w:val="00D3675C"/>
    <w:rsid w:val="00D6589B"/>
    <w:rsid w:val="00D75134"/>
    <w:rsid w:val="00DB6FE7"/>
    <w:rsid w:val="00DE61EC"/>
    <w:rsid w:val="00E40004"/>
    <w:rsid w:val="00E973BC"/>
    <w:rsid w:val="00F02C5D"/>
    <w:rsid w:val="00F10DF9"/>
    <w:rsid w:val="00F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D6589B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HeaderChar">
    <w:name w:val="Header Char"/>
    <w:locked/>
    <w:rsid w:val="00D3675C"/>
    <w:rPr>
      <w:rFonts w:cs="Times New Roman"/>
    </w:rPr>
  </w:style>
  <w:style w:type="character" w:styleId="Hyperlink">
    <w:name w:val="Hyperlink"/>
    <w:rsid w:val="00075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2105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2454</CharactersWithSpaces>
  <SharedDoc>false</SharedDoc>
  <HyperlinkBase>https://www.cabinet.qld.gov.au/documents/2013/Oct/Liquor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2014-01-29T00:51:00Z</cp:lastPrinted>
  <dcterms:created xsi:type="dcterms:W3CDTF">2017-10-25T00:54:00Z</dcterms:created>
  <dcterms:modified xsi:type="dcterms:W3CDTF">2018-03-06T01:22:00Z</dcterms:modified>
  <cp:category>Liquor,Alcohol,Gaming,Fair_Trading,Legislation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532301961</vt:i4>
  </property>
  <property fmtid="{D5CDD505-2E9C-101B-9397-08002B2CF9AE}" pid="3" name="_NewReviewCycle">
    <vt:lpwstr/>
  </property>
  <property fmtid="{D5CDD505-2E9C-101B-9397-08002B2CF9AE}" pid="4" name="_PreviousAdHocReviewCycleID">
    <vt:i4>-738944336</vt:i4>
  </property>
  <property fmtid="{D5CDD505-2E9C-101B-9397-08002B2CF9AE}" pid="5" name="_ReviewingToolsShownOnce">
    <vt:lpwstr/>
  </property>
</Properties>
</file>